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12 — Bilanci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Bilanci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29, 30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Bilancio di previsione annuale e pluriennale: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Esercizio finanziario: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Approvato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consiliare n. ___ del ___/___/______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Eventuali variazioni: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Link al bilancio: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Rendiconto / Conto consuntivo: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Esercizio finanziario: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Approvato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consiliare n. ___ del ___/___/______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Link al rendiconto: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Piano degli indicatori e dei risultati attesi di bilancio: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Allegato al bilancio: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Sì   ☐ No   Link: 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Indicatore di tempestività dei pagamenti: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700"/>
        <w:gridCol w:w="1700"/>
        <w:gridCol w:w="3260"/>
      </w:tblGrid>
      <w:tr>
        <w:trPr>
          <w:tblHeader/>
        </w:trPr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Periodo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Indicatore (giorni)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Stock debito (€)</w:t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fatture / imprese creditrici</w:t>
            </w:r>
          </w:p>
        </w:tc>
      </w:tr>
      <w:tr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/>
          <w:iCs/>
          <w:sz w:val="14"/>
          <w:szCs w:val="14"/>
        </w:rPr>
        <w:t xml:space="preserve">Compilare con i dati annuali (riga 1) e trimestrali (righe 2-4 = T1, T2, T3, T4)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IBAN e codici per i pagamenti informatici (art. 36):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6160"/>
      </w:tblGrid>
      <w:tr>
        <w:trPr>
          <w:tblHeader/>
        </w:trP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Causale / tipologia</w:t>
            </w:r>
          </w:p>
        </w:tc>
        <w:tc>
          <w:tcPr>
            <w:tcW w:type="dxa" w:w="6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IBAN / codice di riferimento</w:t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6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6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6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Spese per la rappresentanza istituzionale: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   Totale annuo: € __________   Link al dettaglio: ____________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Bilanci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Bilanci — MODELLO Amministrazione Trasparente</dc:title>
  <dc:creator>Marco Matteocci — Segretario Comunale</dc:creator>
  <dc:description>Modello compilabile per la pubblicazione in Amministrazione Trasparente — 12 — Bilanci</dc:description>
  <cp:lastModifiedBy>Un-named</cp:lastModifiedBy>
  <cp:revision>1</cp:revision>
  <dcterms:created xsi:type="dcterms:W3CDTF">2026-06-15T14:39:27.157Z</dcterms:created>
  <dcterms:modified xsi:type="dcterms:W3CDTF">2026-06-15T14:39:27.157Z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